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佛山市摩登家具有限公司破产案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6"/>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4"/>
                <w14:textFill>
                  <w14:solidFill>
                    <w14:schemeClr w14:val="tx1"/>
                  </w14:solidFill>
                </w14:textFill>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佛山市摩登家具有限公司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佛山市摩登家具有限公司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（2023）粤0606破46号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pStyle w:val="2"/>
        <w:ind w:left="0" w:leftChars="0" w:firstLine="0" w:firstLineChars="0"/>
        <w:rPr>
          <w:rFonts w:hint="eastAsia" w:ascii="仿宋_GB2312" w:hAnsi="仿宋_GB2312" w:eastAsia="仿宋_GB2312" w:cs="仿宋_GB2312"/>
          <w:b w:val="0"/>
          <w:bCs w:val="0"/>
          <w:color w:val="auto"/>
          <w:sz w:val="32"/>
          <w:szCs w:val="32"/>
          <w:highlight w:val="none"/>
        </w:rPr>
      </w:pPr>
    </w:p>
    <w:p>
      <w:pPr>
        <w:spacing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6"/>
          <w:szCs w:val="36"/>
          <w:highlight w:val="none"/>
          <w:lang w:eastAsia="zh-CN"/>
        </w:rPr>
        <w:t>佛山市摩登家具有限公司</w:t>
      </w:r>
      <w:r>
        <w:rPr>
          <w:rFonts w:hint="eastAsia" w:ascii="仿宋_GB2312" w:hAnsi="仿宋_GB2312" w:eastAsia="仿宋_GB2312" w:cs="仿宋_GB2312"/>
          <w:b/>
          <w:bCs/>
          <w:color w:val="auto"/>
          <w:sz w:val="36"/>
          <w:szCs w:val="36"/>
          <w:highlight w:val="none"/>
        </w:rPr>
        <w:t>破产</w:t>
      </w:r>
      <w:r>
        <w:rPr>
          <w:rFonts w:hint="eastAsia" w:ascii="仿宋_GB2312" w:hAnsi="仿宋_GB2312" w:eastAsia="仿宋_GB2312" w:cs="仿宋_GB2312"/>
          <w:b/>
          <w:bCs/>
          <w:color w:val="auto"/>
          <w:sz w:val="36"/>
          <w:szCs w:val="36"/>
          <w:highlight w:val="none"/>
          <w:lang w:eastAsia="zh-CN"/>
        </w:rPr>
        <w:t>清算</w:t>
      </w:r>
      <w:r>
        <w:rPr>
          <w:rFonts w:hint="eastAsia" w:ascii="仿宋_GB2312" w:hAnsi="仿宋_GB2312" w:eastAsia="仿宋_GB2312" w:cs="仿宋_GB2312"/>
          <w:b/>
          <w:bCs/>
          <w:color w:val="auto"/>
          <w:sz w:val="36"/>
          <w:szCs w:val="36"/>
          <w:highlight w:val="none"/>
        </w:rPr>
        <w:t>案</w:t>
      </w:r>
    </w:p>
    <w:p>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spacing w:line="240" w:lineRule="auto"/>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佛山市摩登家具有限公司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程序的顺利进行，提高工作效率，节约司法资源，根据《企业破产法》及相关司法解释，管理人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b w:val="0"/>
          <w:bCs w:val="0"/>
          <w:color w:val="000000"/>
          <w:kern w:val="2"/>
          <w:sz w:val="32"/>
          <w:szCs w:val="32"/>
          <w:highlight w:val="none"/>
          <w:lang w:val="en-US" w:eastAsia="zh-CN" w:bidi="ar-SA"/>
        </w:rPr>
        <w:t>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佛山市摩登家具有限公司管理人：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关于佛山市摩登家具有限公司破产一案，我单位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佛山市摩登家具有限公司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佛山市摩登家具有限公司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6"/>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（2023）粤0606破46号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袁源</w:t>
            </w:r>
            <w:r>
              <w:rPr>
                <w:rFonts w:hint="eastAsia" w:ascii="仿宋_GB2312" w:hAnsi="楷体_GB2312" w:eastAsia="仿宋_GB2312" w:cs="楷体_GB2312"/>
                <w:sz w:val="24"/>
                <w:lang w:val="en-US" w:eastAsia="zh-CN"/>
              </w:rPr>
              <w:t xml:space="preserve">  凌梓燊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10</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15820648249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0757-81857071-829  </w:t>
            </w:r>
            <w:r>
              <w:rPr>
                <w:rFonts w:hint="eastAsia" w:ascii="仿宋_GB2312" w:eastAsia="仿宋_GB2312"/>
                <w:b w:val="0"/>
                <w:bCs/>
                <w:color w:val="000000"/>
                <w:sz w:val="24"/>
                <w:szCs w:val="24"/>
                <w:lang w:val="en-US" w:eastAsia="zh-CN"/>
              </w:rPr>
              <w:t>13590610168</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佛山市摩登家具有限公司</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p>
      <w:pPr>
        <w:jc w:val="right"/>
        <w:rPr>
          <w:rFonts w:hint="eastAsia" w:ascii="仿宋_GB2312" w:hAnsi="楷体_GB2312" w:eastAsia="仿宋_GB2312" w:cs="楷体_GB2312"/>
          <w:sz w:val="28"/>
          <w:szCs w:val="28"/>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关于债权申报的说明</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管理人：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关于本债权人申报的债权，本债权人特向管理人作如下说明：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一、关于连带债权问题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□本债权人申报的债权属于连带债权，本债权人为□债权人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保证人，其他保证人为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（若有保证人的，请列明全部保证人。）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□本债权人申报的债权不属于连带债权。</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二、关于清偿问题</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本债权人的债权已在主债务人或保证人处得到清偿，清偿的主体及金额为</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本债权人的债权没有在主债务人或保证人处得到过清偿。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本债权人上述陈述均为事实，如有虚假，愿意承担相应的法律责任。</w:t>
      </w:r>
    </w:p>
    <w:p>
      <w:pPr>
        <w:ind w:firstLine="640" w:firstLineChars="200"/>
        <w:rPr>
          <w:rFonts w:hint="eastAsia"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说明人（签名或盖章）：               </w:t>
      </w:r>
    </w:p>
    <w:p>
      <w:pPr>
        <w:ind w:firstLine="640" w:firstLineChars="20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楷体_GB2312" w:eastAsia="仿宋_GB2312" w:cs="楷体_GB2312"/>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zdmNzJmNjY1ZDY3OTkxZDNkN2JlZjUxYmEyY2E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76D9B"/>
    <w:rsid w:val="17AA3517"/>
    <w:rsid w:val="187A5294"/>
    <w:rsid w:val="1BA549C5"/>
    <w:rsid w:val="1CB34966"/>
    <w:rsid w:val="1E8C17B0"/>
    <w:rsid w:val="20E10BFD"/>
    <w:rsid w:val="23473D44"/>
    <w:rsid w:val="261801BD"/>
    <w:rsid w:val="262B563A"/>
    <w:rsid w:val="26F268A1"/>
    <w:rsid w:val="294D5677"/>
    <w:rsid w:val="2C28333C"/>
    <w:rsid w:val="2C9D7FAB"/>
    <w:rsid w:val="2DB41649"/>
    <w:rsid w:val="2E9F2F3D"/>
    <w:rsid w:val="2EB26E9E"/>
    <w:rsid w:val="304539D1"/>
    <w:rsid w:val="30D71FE8"/>
    <w:rsid w:val="34926B4E"/>
    <w:rsid w:val="356B50A1"/>
    <w:rsid w:val="35A76B08"/>
    <w:rsid w:val="373652B8"/>
    <w:rsid w:val="3C770CB5"/>
    <w:rsid w:val="3D363D3A"/>
    <w:rsid w:val="3E3C0770"/>
    <w:rsid w:val="3F114B1F"/>
    <w:rsid w:val="3F6F7094"/>
    <w:rsid w:val="3F7F6B67"/>
    <w:rsid w:val="41BA598E"/>
    <w:rsid w:val="42A6015B"/>
    <w:rsid w:val="43B519F3"/>
    <w:rsid w:val="450D606D"/>
    <w:rsid w:val="45B5008A"/>
    <w:rsid w:val="46655E20"/>
    <w:rsid w:val="48F538DA"/>
    <w:rsid w:val="4AC7188E"/>
    <w:rsid w:val="4B5B4EAC"/>
    <w:rsid w:val="4B977061"/>
    <w:rsid w:val="4BE57A83"/>
    <w:rsid w:val="4DF215A9"/>
    <w:rsid w:val="4F731ECD"/>
    <w:rsid w:val="4F953E11"/>
    <w:rsid w:val="52850FF5"/>
    <w:rsid w:val="55774B69"/>
    <w:rsid w:val="5580285C"/>
    <w:rsid w:val="587E6CE9"/>
    <w:rsid w:val="58C73B2D"/>
    <w:rsid w:val="593B4AFF"/>
    <w:rsid w:val="5A296BE0"/>
    <w:rsid w:val="5B0B3821"/>
    <w:rsid w:val="600F5442"/>
    <w:rsid w:val="61F96745"/>
    <w:rsid w:val="62FB7B77"/>
    <w:rsid w:val="64A9450C"/>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2884</Words>
  <Characters>3055</Characters>
  <Lines>0</Lines>
  <Paragraphs>0</Paragraphs>
  <TotalTime>1</TotalTime>
  <ScaleCrop>false</ScaleCrop>
  <LinksUpToDate>false</LinksUpToDate>
  <CharactersWithSpaces>4301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凌梓燊</cp:lastModifiedBy>
  <cp:lastPrinted>2019-07-19T02:26:00Z</cp:lastPrinted>
  <dcterms:modified xsi:type="dcterms:W3CDTF">2023-06-19T07:15:19Z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5065B64119A747459429B0E2D9A13E28</vt:lpwstr>
  </property>
</Properties>
</file>