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佛山市伍恒贸易有限公司破产案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日期：2023年  月  日                         日期：2023年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佛山市伍恒贸易有限公司</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佛山市伍恒贸易有限公司</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6</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31</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spacing w:line="240" w:lineRule="auto"/>
        <w:jc w:val="center"/>
        <w:rPr>
          <w:rFonts w:hint="eastAsia" w:ascii="仿宋_GB2312" w:hAnsi="仿宋_GB2312" w:eastAsia="仿宋_GB2312" w:cs="仿宋_GB2312"/>
          <w:b/>
          <w:bCs/>
          <w:color w:val="auto"/>
          <w:sz w:val="36"/>
          <w:szCs w:val="36"/>
          <w:highlight w:val="none"/>
          <w:lang w:eastAsia="zh-CN"/>
        </w:rPr>
      </w:pP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lang w:eastAsia="zh-CN"/>
        </w:rPr>
        <w:t>佛山市伍恒贸易有限公司</w:t>
      </w:r>
      <w:r>
        <w:rPr>
          <w:rFonts w:hint="eastAsia" w:ascii="仿宋_GB2312" w:hAnsi="仿宋_GB2312" w:eastAsia="仿宋_GB2312" w:cs="仿宋_GB2312"/>
          <w:b/>
          <w:bCs/>
          <w:color w:val="auto"/>
          <w:sz w:val="36"/>
          <w:szCs w:val="36"/>
          <w:highlight w:val="none"/>
        </w:rPr>
        <w:t>破产</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spacing w:line="240" w:lineRule="auto"/>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佛山市伍恒贸易有限公司（下称“伍恒公司”）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w:t>
      </w:r>
      <w:r>
        <w:rPr>
          <w:rFonts w:hint="eastAsia" w:ascii="仿宋_GB2312" w:hAnsi="仿宋_GB2312" w:eastAsia="仿宋_GB2312" w:cs="仿宋_GB2312"/>
          <w:color w:val="auto"/>
          <w:sz w:val="32"/>
          <w:szCs w:val="32"/>
          <w:highlight w:val="none"/>
          <w:lang w:eastAsia="zh-CN"/>
        </w:rPr>
        <w:t>中华人民共和国</w:t>
      </w:r>
      <w:r>
        <w:rPr>
          <w:rFonts w:hint="eastAsia" w:ascii="仿宋_GB2312" w:hAnsi="仿宋_GB2312" w:eastAsia="仿宋_GB2312" w:cs="仿宋_GB2312"/>
          <w:color w:val="auto"/>
          <w:sz w:val="32"/>
          <w:szCs w:val="32"/>
          <w:highlight w:val="none"/>
        </w:rPr>
        <w:t>企业破产法》</w:t>
      </w:r>
      <w:r>
        <w:rPr>
          <w:rFonts w:hint="eastAsia" w:ascii="仿宋_GB2312" w:hAnsi="仿宋_GB2312" w:eastAsia="仿宋_GB2312" w:cs="仿宋_GB2312"/>
          <w:color w:val="auto"/>
          <w:sz w:val="32"/>
          <w:szCs w:val="32"/>
          <w:highlight w:val="none"/>
          <w:lang w:eastAsia="zh-CN"/>
        </w:rPr>
        <w:t>（下称“《企业破产法》”）</w:t>
      </w:r>
      <w:r>
        <w:rPr>
          <w:rFonts w:hint="eastAsia" w:ascii="仿宋_GB2312" w:hAnsi="仿宋_GB2312" w:eastAsia="仿宋_GB2312" w:cs="仿宋_GB2312"/>
          <w:color w:val="auto"/>
          <w:sz w:val="32"/>
          <w:szCs w:val="32"/>
          <w:highlight w:val="none"/>
        </w:rPr>
        <w:t>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w:t>
      </w:r>
      <w:r>
        <w:rPr>
          <w:rFonts w:hint="eastAsia" w:ascii="仿宋_GB2312" w:hAnsi="仿宋_GB2312" w:eastAsia="仿宋_GB2312" w:cs="仿宋_GB2312"/>
          <w:sz w:val="32"/>
          <w:szCs w:val="32"/>
          <w:highlight w:val="none"/>
          <w:lang w:eastAsia="zh-CN"/>
        </w:rPr>
        <w:t>伍恒公司</w:t>
      </w:r>
      <w:r>
        <w:rPr>
          <w:rFonts w:hint="eastAsia" w:ascii="仿宋_GB2312" w:hAnsi="仿宋_GB2312" w:eastAsia="仿宋_GB2312" w:cs="仿宋_GB2312"/>
          <w:b w:val="0"/>
          <w:bCs w:val="0"/>
          <w:color w:val="000000"/>
          <w:kern w:val="2"/>
          <w:sz w:val="32"/>
          <w:szCs w:val="32"/>
          <w:highlight w:val="none"/>
          <w:lang w:val="en-US" w:eastAsia="zh-CN" w:bidi="ar-SA"/>
        </w:rPr>
        <w:t>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佛山市伍恒贸易有限公司管理人：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关于佛山市伍恒贸易有限公司公司破产一案，我单位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2023</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佛山市伍恒贸易有限公司</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spacing w:line="360" w:lineRule="exact"/>
              <w:ind w:firstLine="480" w:firstLineChars="200"/>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sz w:val="24"/>
              </w:rPr>
              <w:t>我（单位）已经如实提供银行账户、地址及联系方式，并保证上述联</w:t>
            </w:r>
            <w:r>
              <w:rPr>
                <w:rFonts w:hint="eastAsia" w:ascii="仿宋_GB2312" w:hAnsi="楷体_GB2312" w:eastAsia="仿宋_GB2312" w:cs="楷体_GB2312"/>
                <w:color w:val="auto"/>
                <w:sz w:val="24"/>
              </w:rPr>
              <w:t>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按上述电子邮箱发送文书，文书一经发送视为送达。我（单位）同意管理</w:t>
            </w:r>
            <w:r>
              <w:rPr>
                <w:rFonts w:hint="eastAsia" w:ascii="仿宋_GB2312" w:hAnsi="楷体_GB2312" w:eastAsia="仿宋_GB2312" w:cs="楷体_GB2312"/>
                <w:sz w:val="24"/>
              </w:rPr>
              <w:t>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佛山市伍恒贸易有限公司</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6</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31</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方式：周杜棋0757-81857071-820、13590673558；</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钟俏婷0757-81857071-823、15975723847。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佛山市伍恒贸易有限公司</w:t>
      </w:r>
      <w:bookmarkStart w:id="0" w:name="_GoBack"/>
      <w:bookmarkEnd w:id="0"/>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2023</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p>
      <w:pPr>
        <w:pStyle w:val="2"/>
        <w:rPr>
          <w:rFonts w:hint="eastAsia" w:ascii="仿宋_GB2312" w:hAnsi="楷体_GB2312" w:eastAsia="仿宋_GB2312" w:cs="楷体_GB2312"/>
          <w:color w:val="000000" w:themeColor="text1"/>
          <w:sz w:val="28"/>
          <w:szCs w:val="28"/>
          <w14:textFill>
            <w14:solidFill>
              <w14:schemeClr w14:val="tx1"/>
            </w14:solidFill>
          </w14:textFill>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OWQ4YzgyODlkOWIzNzc5NDY3NzhkMDBhNTQyMTYifQ=="/>
  </w:docVars>
  <w:rsids>
    <w:rsidRoot w:val="00000000"/>
    <w:rsid w:val="016F5840"/>
    <w:rsid w:val="02B6296F"/>
    <w:rsid w:val="030C172C"/>
    <w:rsid w:val="047B0C39"/>
    <w:rsid w:val="04EB00E0"/>
    <w:rsid w:val="05B1046F"/>
    <w:rsid w:val="0D873219"/>
    <w:rsid w:val="0E7A5977"/>
    <w:rsid w:val="0FE34AB5"/>
    <w:rsid w:val="119D44C8"/>
    <w:rsid w:val="132B2D62"/>
    <w:rsid w:val="15317E1B"/>
    <w:rsid w:val="174C74FF"/>
    <w:rsid w:val="17AA3517"/>
    <w:rsid w:val="187A5294"/>
    <w:rsid w:val="1BA549C5"/>
    <w:rsid w:val="1CB34966"/>
    <w:rsid w:val="1D4775CE"/>
    <w:rsid w:val="1E8C17B0"/>
    <w:rsid w:val="20E10BFD"/>
    <w:rsid w:val="214A6DF6"/>
    <w:rsid w:val="261801BD"/>
    <w:rsid w:val="262B563A"/>
    <w:rsid w:val="26982560"/>
    <w:rsid w:val="26F268A1"/>
    <w:rsid w:val="2C28333C"/>
    <w:rsid w:val="2C9D7FAB"/>
    <w:rsid w:val="2DB41649"/>
    <w:rsid w:val="2E5B30C9"/>
    <w:rsid w:val="2E9F2F3D"/>
    <w:rsid w:val="2EB26E9E"/>
    <w:rsid w:val="304539D1"/>
    <w:rsid w:val="30D71FE8"/>
    <w:rsid w:val="32374DBE"/>
    <w:rsid w:val="34926B4E"/>
    <w:rsid w:val="356B50A1"/>
    <w:rsid w:val="35A76B08"/>
    <w:rsid w:val="3C770CB5"/>
    <w:rsid w:val="3D363D3A"/>
    <w:rsid w:val="3E0F5908"/>
    <w:rsid w:val="3E3C0770"/>
    <w:rsid w:val="3F114B1F"/>
    <w:rsid w:val="3F6F7094"/>
    <w:rsid w:val="3F7F6B67"/>
    <w:rsid w:val="4018274F"/>
    <w:rsid w:val="41BA598E"/>
    <w:rsid w:val="43B519F3"/>
    <w:rsid w:val="450D606D"/>
    <w:rsid w:val="45B5008A"/>
    <w:rsid w:val="46655E20"/>
    <w:rsid w:val="48F538DA"/>
    <w:rsid w:val="4AC7188E"/>
    <w:rsid w:val="4B977061"/>
    <w:rsid w:val="4BE57A83"/>
    <w:rsid w:val="4DF215A9"/>
    <w:rsid w:val="4F731ECD"/>
    <w:rsid w:val="4F953E11"/>
    <w:rsid w:val="52850FF5"/>
    <w:rsid w:val="5580285C"/>
    <w:rsid w:val="587E6CE9"/>
    <w:rsid w:val="58C73B2D"/>
    <w:rsid w:val="5A296BE0"/>
    <w:rsid w:val="5B0B3821"/>
    <w:rsid w:val="5B99183B"/>
    <w:rsid w:val="600F5442"/>
    <w:rsid w:val="62FB7B77"/>
    <w:rsid w:val="6348131A"/>
    <w:rsid w:val="64A9450C"/>
    <w:rsid w:val="67A646EB"/>
    <w:rsid w:val="68E82082"/>
    <w:rsid w:val="6A411085"/>
    <w:rsid w:val="6C3C021A"/>
    <w:rsid w:val="6DB167EB"/>
    <w:rsid w:val="6DC3475D"/>
    <w:rsid w:val="6E360EA7"/>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2845</Words>
  <Characters>3016</Characters>
  <Lines>0</Lines>
  <Paragraphs>0</Paragraphs>
  <TotalTime>2</TotalTime>
  <ScaleCrop>false</ScaleCrop>
  <LinksUpToDate>false</LinksUpToDate>
  <CharactersWithSpaces>4247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俏俏</cp:lastModifiedBy>
  <cp:lastPrinted>2019-07-19T02:26:00Z</cp:lastPrinted>
  <dcterms:modified xsi:type="dcterms:W3CDTF">2023-05-17T08:59:25Z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5065B64119A747459429B0E2D9A13E28</vt:lpwstr>
  </property>
</Properties>
</file>